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772F" w14:textId="77777777" w:rsidR="00E90D46" w:rsidRDefault="00000000" w:rsidP="00AA2DF4">
      <w:pPr>
        <w:pStyle w:val="CaptionedFigure"/>
        <w:jc w:val="center"/>
      </w:pPr>
      <w:r>
        <w:rPr>
          <w:noProof/>
        </w:rPr>
        <w:drawing>
          <wp:inline distT="0" distB="0" distL="0" distR="0" wp14:anchorId="73785FF0" wp14:editId="6C057FC8">
            <wp:extent cx="1143000" cy="1312242"/>
            <wp:effectExtent l="0" t="0" r="0" b="0"/>
            <wp:docPr id="21" name="Picture" descr="Grb Republike Sjeverno Saraje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02EF0A8A-E5A4-433C-9D14-314ABD708C1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2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51205" w14:textId="77777777" w:rsidR="00E90D46" w:rsidRDefault="00000000" w:rsidP="00AA2DF4">
      <w:pPr>
        <w:pStyle w:val="Heading1"/>
        <w:jc w:val="center"/>
      </w:pPr>
      <w:bookmarkStart w:id="0" w:name="X9346fbe966e9ff9172fe4a4f140e1711a1c27f9"/>
      <w:r>
        <w:t>IZBORNI ZAKON REPUBLIKE SJEVERNO SARAJEVO</w:t>
      </w:r>
    </w:p>
    <w:p w14:paraId="1EC13CFC" w14:textId="77777777" w:rsidR="00E90D46" w:rsidRDefault="00000000">
      <w:pPr>
        <w:pStyle w:val="Heading2"/>
      </w:pPr>
      <w:bookmarkStart w:id="1" w:name="glava-i-opće-odredbe"/>
      <w:r>
        <w:t>GLAVA I – OPĆE ODREDBE</w:t>
      </w:r>
    </w:p>
    <w:p w14:paraId="764D49FD" w14:textId="77777777" w:rsidR="00E90D46" w:rsidRDefault="00000000">
      <w:pPr>
        <w:pStyle w:val="Heading3"/>
      </w:pPr>
      <w:bookmarkStart w:id="2" w:name="član-1."/>
      <w:r>
        <w:t>Član 1.</w:t>
      </w:r>
    </w:p>
    <w:p w14:paraId="0E1C62D4" w14:textId="77777777" w:rsidR="00E90D46" w:rsidRDefault="00000000">
      <w:pPr>
        <w:pStyle w:val="FirstParagraph"/>
      </w:pPr>
      <w:r>
        <w:t>Ovim zakonom uređuje se način sprovođenja predsjedničkih, parlamentarnih, distriktnih i izbora za organe Autonomne Pokrajine Breka (AP Breka), kao i pravila izborne kampanje, finansiranja i prigovora.</w:t>
      </w:r>
    </w:p>
    <w:p w14:paraId="7208127D" w14:textId="77777777" w:rsidR="00E90D46" w:rsidRDefault="00000000">
      <w:pPr>
        <w:pStyle w:val="Heading3"/>
      </w:pPr>
      <w:bookmarkStart w:id="3" w:name="član-2."/>
      <w:bookmarkEnd w:id="2"/>
      <w:r>
        <w:t>Član 2.</w:t>
      </w:r>
    </w:p>
    <w:p w14:paraId="3ABA3D72" w14:textId="7FBB532D" w:rsidR="00E90D46" w:rsidRDefault="00000000">
      <w:pPr>
        <w:pStyle w:val="FirstParagraph"/>
      </w:pPr>
      <w:r>
        <w:t>Pravo glasa imaju svi državljani Republike koji su navršili 1</w:t>
      </w:r>
      <w:r w:rsidR="00AA2DF4">
        <w:t>6</w:t>
      </w:r>
      <w:r>
        <w:t xml:space="preserve"> godina i koji imaju prebivalište na teritoriji Republike, osim ako im je pravosnažnom odlukom suda oduzeto biračko pravo.</w:t>
      </w:r>
    </w:p>
    <w:p w14:paraId="15D417F5" w14:textId="77777777" w:rsidR="00E90D46" w:rsidRDefault="00000000">
      <w:pPr>
        <w:pStyle w:val="Heading2"/>
      </w:pPr>
      <w:bookmarkStart w:id="4" w:name="X91d3ed4bfdf8c3a089a133b29efcd3eceec1bfb"/>
      <w:bookmarkEnd w:id="1"/>
      <w:bookmarkEnd w:id="3"/>
      <w:r>
        <w:t>GLAVA II – IZBORI ZA PREDSJEDNIKA REPUBLIKE</w:t>
      </w:r>
    </w:p>
    <w:p w14:paraId="04A7C7CE" w14:textId="77777777" w:rsidR="00E90D46" w:rsidRDefault="00000000">
      <w:pPr>
        <w:pStyle w:val="Heading3"/>
      </w:pPr>
      <w:bookmarkStart w:id="5" w:name="član-3."/>
      <w:r>
        <w:t>Član 3.</w:t>
      </w:r>
    </w:p>
    <w:p w14:paraId="33A8ED59" w14:textId="77777777" w:rsidR="00E90D46" w:rsidRDefault="00000000">
      <w:pPr>
        <w:pStyle w:val="FirstParagraph"/>
      </w:pPr>
      <w:r>
        <w:t>Predsjednik Republike bira se većinskim sistemom u jednom krugu ako kandidat dobije više od polovine važećih glasova. Ako nijedan kandidat ne dobije većinu, drugi krug održava se između dva kandidata sa najviše glasova u roku od 14 dana.</w:t>
      </w:r>
    </w:p>
    <w:p w14:paraId="72A63C0E" w14:textId="77777777" w:rsidR="00E90D46" w:rsidRDefault="00000000">
      <w:pPr>
        <w:pStyle w:val="Heading3"/>
      </w:pPr>
      <w:bookmarkStart w:id="6" w:name="član-4."/>
      <w:bookmarkEnd w:id="5"/>
      <w:r>
        <w:t>Član 4.</w:t>
      </w:r>
    </w:p>
    <w:p w14:paraId="6E5AE549" w14:textId="5072D19E" w:rsidR="00E90D46" w:rsidRDefault="00000000">
      <w:pPr>
        <w:pStyle w:val="FirstParagraph"/>
      </w:pPr>
      <w:r>
        <w:t>Kandidatura se podnosi RIK-u najkasnije 30 dana prije dana izbora.</w:t>
      </w:r>
    </w:p>
    <w:p w14:paraId="301B19A2" w14:textId="77777777" w:rsidR="00E90D46" w:rsidRDefault="00000000">
      <w:pPr>
        <w:pStyle w:val="Heading2"/>
      </w:pPr>
      <w:bookmarkStart w:id="7" w:name="glava-iii-izbori-za-parlament"/>
      <w:bookmarkEnd w:id="4"/>
      <w:bookmarkEnd w:id="6"/>
      <w:r>
        <w:t>GLAVA III – IZBORI ZA PARLAMENT</w:t>
      </w:r>
    </w:p>
    <w:p w14:paraId="1AB315EC" w14:textId="77777777" w:rsidR="00E90D46" w:rsidRDefault="00000000">
      <w:pPr>
        <w:pStyle w:val="Heading3"/>
      </w:pPr>
      <w:bookmarkStart w:id="8" w:name="član-5."/>
      <w:r>
        <w:t>Član 5.</w:t>
      </w:r>
    </w:p>
    <w:p w14:paraId="635CCFCE" w14:textId="7BF3F34E" w:rsidR="00E90D46" w:rsidRDefault="00000000">
      <w:pPr>
        <w:pStyle w:val="FirstParagraph"/>
      </w:pPr>
      <w:r>
        <w:t>Poslanici Parlamenta biraju se proporcionalnim sistemom sa zatvorenim listama. Izborna jedinica je teritorija Republike. Izborne liste mogu podnijeti političke stranke, koalicije i grupe građana</w:t>
      </w:r>
      <w:r w:rsidR="00AA2DF4">
        <w:t>.</w:t>
      </w:r>
    </w:p>
    <w:p w14:paraId="7A9D0034" w14:textId="77777777" w:rsidR="00E90D46" w:rsidRDefault="00000000">
      <w:pPr>
        <w:pStyle w:val="Heading3"/>
      </w:pPr>
      <w:bookmarkStart w:id="9" w:name="član-6."/>
      <w:bookmarkEnd w:id="8"/>
      <w:r>
        <w:t>Član 6.</w:t>
      </w:r>
    </w:p>
    <w:p w14:paraId="741DBA15" w14:textId="7D8F4099" w:rsidR="00E90D46" w:rsidRDefault="00000000">
      <w:pPr>
        <w:pStyle w:val="FirstParagraph"/>
      </w:pPr>
      <w:r>
        <w:t xml:space="preserve">Mandati se raspodjeljuju primjenom D’Hondtove metode. Prag za ulazak u raspodjelu mandata iznosi </w:t>
      </w:r>
      <w:r w:rsidR="00AA2DF4">
        <w:t>10</w:t>
      </w:r>
      <w:r>
        <w:t> % od ukupnog broja važećih glasova.</w:t>
      </w:r>
    </w:p>
    <w:p w14:paraId="3378A6C0" w14:textId="77777777" w:rsidR="00E90D46" w:rsidRDefault="00000000">
      <w:pPr>
        <w:pStyle w:val="Heading2"/>
      </w:pPr>
      <w:bookmarkStart w:id="10" w:name="Xf07e924b5e3acf6a033f9822bb3c597e621ea18"/>
      <w:bookmarkEnd w:id="7"/>
      <w:bookmarkEnd w:id="9"/>
      <w:r>
        <w:lastRenderedPageBreak/>
        <w:t>GLAVA IV – IZBORI ZA DISTRIKTNA VIJEĆA I ORGANE AP BREKA</w:t>
      </w:r>
    </w:p>
    <w:p w14:paraId="36A1D59D" w14:textId="77777777" w:rsidR="00E90D46" w:rsidRDefault="00000000">
      <w:pPr>
        <w:pStyle w:val="Heading3"/>
      </w:pPr>
      <w:bookmarkStart w:id="11" w:name="član-7."/>
      <w:r>
        <w:t>Član 7.</w:t>
      </w:r>
    </w:p>
    <w:p w14:paraId="798CB4E9" w14:textId="77777777" w:rsidR="00E90D46" w:rsidRDefault="00000000">
      <w:pPr>
        <w:pStyle w:val="FirstParagraph"/>
      </w:pPr>
      <w:r>
        <w:t>Izbori za distriktna vijeća sprovode se proporcionalnim sistemom u okviru svakog distrikta. Broj vijećnika i mandat utvrđuju se posebnim zakonom.</w:t>
      </w:r>
    </w:p>
    <w:p w14:paraId="2605366C" w14:textId="77777777" w:rsidR="00E90D46" w:rsidRDefault="00000000">
      <w:pPr>
        <w:pStyle w:val="Heading3"/>
      </w:pPr>
      <w:bookmarkStart w:id="12" w:name="član-8."/>
      <w:bookmarkEnd w:id="11"/>
      <w:r>
        <w:t>Član 8.</w:t>
      </w:r>
    </w:p>
    <w:p w14:paraId="310596BE" w14:textId="77777777" w:rsidR="00E90D46" w:rsidRDefault="00000000">
      <w:pPr>
        <w:pStyle w:val="FirstParagraph"/>
      </w:pPr>
      <w:r>
        <w:t>Izbori za Skupštinu AP Breka sprovode se proporcionalnim sistemom. Guverner AP Breka bira se većinskim sistemom u dva kruga, slično izboru Predsjednika Republike.</w:t>
      </w:r>
    </w:p>
    <w:p w14:paraId="3E74B1C5" w14:textId="77777777" w:rsidR="00E90D46" w:rsidRDefault="00000000">
      <w:pPr>
        <w:pStyle w:val="Heading2"/>
      </w:pPr>
      <w:bookmarkStart w:id="13" w:name="glava-v-izborna-kampanja-i-finansiranje"/>
      <w:bookmarkEnd w:id="10"/>
      <w:bookmarkEnd w:id="12"/>
      <w:r>
        <w:t>GLAVA V – IZBORNA KAMPANJA I FINANSIRANJE</w:t>
      </w:r>
    </w:p>
    <w:p w14:paraId="1DD495A1" w14:textId="77777777" w:rsidR="00E90D46" w:rsidRDefault="00000000">
      <w:pPr>
        <w:pStyle w:val="Heading3"/>
      </w:pPr>
      <w:bookmarkStart w:id="14" w:name="član-9."/>
      <w:r>
        <w:t>Član 9.</w:t>
      </w:r>
    </w:p>
    <w:p w14:paraId="7F7D0AC4" w14:textId="77777777" w:rsidR="00E90D46" w:rsidRDefault="00000000">
      <w:pPr>
        <w:pStyle w:val="FirstParagraph"/>
      </w:pPr>
      <w:r>
        <w:t>Izborna kampanja počinje 30 dana prije dana izbora i traje do početka izborne šutnje. Kandidati i liste dužni su voditi kampanju dostojanstveno, bez mržnje i poziva na nasilje.</w:t>
      </w:r>
    </w:p>
    <w:p w14:paraId="7B12F3C4" w14:textId="77777777" w:rsidR="00E90D46" w:rsidRDefault="00000000">
      <w:pPr>
        <w:pStyle w:val="Heading3"/>
      </w:pPr>
      <w:bookmarkStart w:id="15" w:name="član-10."/>
      <w:bookmarkEnd w:id="14"/>
      <w:r>
        <w:t>Član 10.</w:t>
      </w:r>
    </w:p>
    <w:p w14:paraId="211E9C11" w14:textId="77777777" w:rsidR="00E90D46" w:rsidRDefault="00000000">
      <w:pPr>
        <w:pStyle w:val="FirstParagraph"/>
      </w:pPr>
      <w:r>
        <w:t>Finansiranje kampanje vrši se iz vlastitih sredstava kandidata i političkih stranaka, donacija u novcu i naturi i budžetskih sredstava. Strogo je zabranjeno finansiranje iz inostranstva, od anonimnih lica, pravnih lica u vlasništvu države, kao i iz izvora zabranjenih drugim zakonima. RIK objavljuje finansijske izvještaje.</w:t>
      </w:r>
    </w:p>
    <w:p w14:paraId="2E560760" w14:textId="77777777" w:rsidR="00E90D46" w:rsidRDefault="00000000">
      <w:pPr>
        <w:pStyle w:val="Heading2"/>
      </w:pPr>
      <w:bookmarkStart w:id="16" w:name="glava-vi-prigovori-i-žalbe"/>
      <w:bookmarkEnd w:id="13"/>
      <w:bookmarkEnd w:id="15"/>
      <w:r>
        <w:t>GLAVA VI – PRIGOVORI I ŽALBE</w:t>
      </w:r>
    </w:p>
    <w:p w14:paraId="3565C77D" w14:textId="77777777" w:rsidR="00E90D46" w:rsidRDefault="00000000">
      <w:pPr>
        <w:pStyle w:val="Heading3"/>
      </w:pPr>
      <w:bookmarkStart w:id="17" w:name="član-11."/>
      <w:r>
        <w:t>Član 11.</w:t>
      </w:r>
    </w:p>
    <w:p w14:paraId="1CA2E98B" w14:textId="77777777" w:rsidR="00E90D46" w:rsidRDefault="00000000">
      <w:pPr>
        <w:pStyle w:val="FirstParagraph"/>
      </w:pPr>
      <w:r>
        <w:t>Birači, kandidati i političke stranke mogu podnijeti prigovor RIK-u zbog nepravilnosti u toku izbora i glasanja najkasnije 24 sata od saznanja za nepravilnost. RIK je dužan odlučiti o prigovoru u roku od 48 sati. Protiv odluke RIK-a može se uložiti žalba Ustavnom sudu u roku od 72 sata.</w:t>
      </w:r>
    </w:p>
    <w:p w14:paraId="30E638E3" w14:textId="77777777" w:rsidR="00E90D46" w:rsidRDefault="00000000">
      <w:pPr>
        <w:pStyle w:val="Heading2"/>
      </w:pPr>
      <w:bookmarkStart w:id="18" w:name="glava-vii-kaznene-odredbe"/>
      <w:bookmarkEnd w:id="16"/>
      <w:bookmarkEnd w:id="17"/>
      <w:r>
        <w:t>GLAVA VII – KAZNENE ODREDBE</w:t>
      </w:r>
    </w:p>
    <w:p w14:paraId="0B212992" w14:textId="77777777" w:rsidR="00E90D46" w:rsidRDefault="00000000">
      <w:pPr>
        <w:pStyle w:val="Heading3"/>
      </w:pPr>
      <w:bookmarkStart w:id="19" w:name="član-12."/>
      <w:r>
        <w:t>Član 12.</w:t>
      </w:r>
    </w:p>
    <w:p w14:paraId="124475FF" w14:textId="77777777" w:rsidR="00E90D46" w:rsidRDefault="00000000">
      <w:pPr>
        <w:pStyle w:val="FirstParagraph"/>
      </w:pPr>
      <w:r>
        <w:t>Novčanom kaznom od 1.000 do 10.000 NSM kazniće se za prekršaj politička stranka, kandidat ili drugo lice koje:</w:t>
      </w:r>
    </w:p>
    <w:p w14:paraId="676F74B4" w14:textId="77777777" w:rsidR="00E90D46" w:rsidRDefault="00000000">
      <w:pPr>
        <w:pStyle w:val="Compact"/>
        <w:numPr>
          <w:ilvl w:val="0"/>
          <w:numId w:val="2"/>
        </w:numPr>
      </w:pPr>
      <w:r>
        <w:t>vodi kampanju izvan zakonom propisanog roka;</w:t>
      </w:r>
    </w:p>
    <w:p w14:paraId="39DCF8A7" w14:textId="77777777" w:rsidR="00E90D46" w:rsidRDefault="00000000">
      <w:pPr>
        <w:pStyle w:val="Compact"/>
        <w:numPr>
          <w:ilvl w:val="0"/>
          <w:numId w:val="2"/>
        </w:numPr>
      </w:pPr>
      <w:r>
        <w:t>objavljuje lažne podatke o protivnicima radi nanošenja štete;</w:t>
      </w:r>
    </w:p>
    <w:p w14:paraId="6D3C01A5" w14:textId="77777777" w:rsidR="00E90D46" w:rsidRDefault="00000000">
      <w:pPr>
        <w:pStyle w:val="Compact"/>
        <w:numPr>
          <w:ilvl w:val="0"/>
          <w:numId w:val="2"/>
        </w:numPr>
      </w:pPr>
      <w:r>
        <w:t>prima zabranjene donacije;</w:t>
      </w:r>
    </w:p>
    <w:p w14:paraId="3218151F" w14:textId="77777777" w:rsidR="00E90D46" w:rsidRDefault="00000000">
      <w:pPr>
        <w:pStyle w:val="Compact"/>
        <w:numPr>
          <w:ilvl w:val="0"/>
          <w:numId w:val="2"/>
        </w:numPr>
      </w:pPr>
      <w:r>
        <w:t>na drugi način grubo krši odredbe ovog zakona.</w:t>
      </w:r>
    </w:p>
    <w:p w14:paraId="60EF1B9A" w14:textId="77777777" w:rsidR="00E90D46" w:rsidRDefault="00000000">
      <w:pPr>
        <w:pStyle w:val="Heading2"/>
      </w:pPr>
      <w:bookmarkStart w:id="20" w:name="glava-viii-završne-odredbe"/>
      <w:bookmarkEnd w:id="18"/>
      <w:bookmarkEnd w:id="19"/>
      <w:r>
        <w:lastRenderedPageBreak/>
        <w:t>GLAVA VIII – ZAVRŠNE ODREDBE</w:t>
      </w:r>
    </w:p>
    <w:p w14:paraId="5002DEE0" w14:textId="77777777" w:rsidR="00E90D46" w:rsidRDefault="00000000">
      <w:pPr>
        <w:pStyle w:val="Heading3"/>
      </w:pPr>
      <w:bookmarkStart w:id="21" w:name="član-13."/>
      <w:r>
        <w:t>Član 13.</w:t>
      </w:r>
    </w:p>
    <w:p w14:paraId="192D21DA" w14:textId="77777777" w:rsidR="00E90D46" w:rsidRDefault="00000000">
      <w:pPr>
        <w:pStyle w:val="FirstParagraph"/>
      </w:pPr>
      <w:r>
        <w:t>Ovaj zakon stupa na snagu osmog dana od dana objavljivanja u „Službenom glasniku Republike Sjeverno Sarajevo“.</w:t>
      </w:r>
      <w:bookmarkEnd w:id="0"/>
      <w:bookmarkEnd w:id="20"/>
      <w:bookmarkEnd w:id="21"/>
    </w:p>
    <w:sectPr w:rsidR="00E90D4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F04B" w14:textId="77777777" w:rsidR="00695EBB" w:rsidRDefault="00695EBB">
      <w:pPr>
        <w:spacing w:after="0"/>
      </w:pPr>
      <w:r>
        <w:separator/>
      </w:r>
    </w:p>
  </w:endnote>
  <w:endnote w:type="continuationSeparator" w:id="0">
    <w:p w14:paraId="163F9D07" w14:textId="77777777" w:rsidR="00695EBB" w:rsidRDefault="00695E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1BF4" w14:textId="77777777" w:rsidR="00695EBB" w:rsidRDefault="00695EBB">
      <w:r>
        <w:separator/>
      </w:r>
    </w:p>
  </w:footnote>
  <w:footnote w:type="continuationSeparator" w:id="0">
    <w:p w14:paraId="2EFC03BB" w14:textId="77777777" w:rsidR="00695EBB" w:rsidRDefault="0069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B9A4E6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8FCAA51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350762706">
    <w:abstractNumId w:val="0"/>
  </w:num>
  <w:num w:numId="2" w16cid:durableId="1777553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D46"/>
    <w:rsid w:val="00695EBB"/>
    <w:rsid w:val="00906D59"/>
    <w:rsid w:val="00AA2DF4"/>
    <w:rsid w:val="00E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F92D"/>
  <w15:docId w15:val="{A0DB9A99-05FC-48BA-84EE-63698EF9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D.A. Dodik</cp:lastModifiedBy>
  <cp:revision>2</cp:revision>
  <dcterms:created xsi:type="dcterms:W3CDTF">2025-11-16T10:31:00Z</dcterms:created>
  <dcterms:modified xsi:type="dcterms:W3CDTF">2025-11-16T15:46:00Z</dcterms:modified>
</cp:coreProperties>
</file>